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179BF" w:rsidRDefault="00B81CF8">
      <w:pPr>
        <w:jc w:val="both"/>
      </w:pPr>
      <w:r>
        <w:t>At</w:t>
      </w:r>
      <w:r>
        <w:t xml:space="preserve"> Carnaval de Barranquilla SAS BIC, we reaffirm our commitment to the protection of the environment, integrating respect for it in every one of our activities and operations.</w:t>
      </w:r>
    </w:p>
    <w:p w14:paraId="00000002" w14:textId="77777777" w:rsidR="006179BF" w:rsidRDefault="00B81CF8">
      <w:pPr>
        <w:jc w:val="both"/>
      </w:pPr>
      <w:r>
        <w:t>Our Environmental and Sustainability Policy is designed to meet current needs with</w:t>
      </w:r>
      <w:r>
        <w:t>out compromising the ability of future generations, implementing a preventive and gradual approach that responds to the demands of the current natural environment. In order to ensure responsible management and adapting to regulatory and social changes, our</w:t>
      </w:r>
      <w:r>
        <w:t xml:space="preserve"> Environmental Policy is continuously updated.</w:t>
      </w:r>
    </w:p>
    <w:p w14:paraId="00000003" w14:textId="77777777" w:rsidR="006179BF" w:rsidRDefault="006179BF">
      <w:pPr>
        <w:jc w:val="both"/>
      </w:pPr>
    </w:p>
    <w:p w14:paraId="00000004" w14:textId="77777777" w:rsidR="006179BF" w:rsidRDefault="00B81CF8">
      <w:pPr>
        <w:jc w:val="both"/>
      </w:pPr>
      <w:r>
        <w:t>The fundamental principles guiding our actions are as follows:</w:t>
      </w:r>
    </w:p>
    <w:p w14:paraId="00000005" w14:textId="77777777" w:rsidR="006179BF" w:rsidRDefault="00B81CF8">
      <w:pPr>
        <w:numPr>
          <w:ilvl w:val="0"/>
          <w:numId w:val="1"/>
        </w:numPr>
        <w:jc w:val="both"/>
      </w:pPr>
      <w:r>
        <w:t>Optimize the use of natural resources and raw materials, promoting their efficiency and sustainability.</w:t>
      </w:r>
    </w:p>
    <w:p w14:paraId="00000006" w14:textId="77777777" w:rsidR="006179BF" w:rsidRDefault="00B81CF8">
      <w:pPr>
        <w:numPr>
          <w:ilvl w:val="0"/>
          <w:numId w:val="1"/>
        </w:numPr>
        <w:jc w:val="both"/>
      </w:pPr>
      <w:r>
        <w:t>Improve energy efficiency and encourage t</w:t>
      </w:r>
      <w:r>
        <w:t>he use of cleaner energy sources.</w:t>
      </w:r>
    </w:p>
    <w:p w14:paraId="00000007" w14:textId="77777777" w:rsidR="006179BF" w:rsidRDefault="00B81CF8">
      <w:pPr>
        <w:numPr>
          <w:ilvl w:val="0"/>
          <w:numId w:val="1"/>
        </w:numPr>
        <w:jc w:val="both"/>
      </w:pPr>
      <w:r>
        <w:t>Prevent and minimize the generation of pollutants in all our activities.</w:t>
      </w:r>
    </w:p>
    <w:p w14:paraId="00000008" w14:textId="77777777" w:rsidR="006179BF" w:rsidRDefault="00B81CF8">
      <w:pPr>
        <w:numPr>
          <w:ilvl w:val="0"/>
          <w:numId w:val="1"/>
        </w:numPr>
        <w:jc w:val="both"/>
      </w:pPr>
      <w:r>
        <w:t>Protect, mitigate, correct, and compensate for the environmental impacts on affected communities and ecosystems.</w:t>
      </w:r>
    </w:p>
    <w:p w14:paraId="00000009" w14:textId="77777777" w:rsidR="006179BF" w:rsidRDefault="00B81CF8">
      <w:pPr>
        <w:numPr>
          <w:ilvl w:val="0"/>
          <w:numId w:val="1"/>
        </w:numPr>
        <w:jc w:val="both"/>
      </w:pPr>
      <w:r>
        <w:t>Adopt cleaner technologies and conti</w:t>
      </w:r>
      <w:r>
        <w:t>nuous improvement practices in our environmental management.</w:t>
      </w:r>
    </w:p>
    <w:p w14:paraId="0000000A" w14:textId="77777777" w:rsidR="006179BF" w:rsidRDefault="00B81CF8">
      <w:pPr>
        <w:numPr>
          <w:ilvl w:val="0"/>
          <w:numId w:val="1"/>
        </w:numPr>
        <w:jc w:val="both"/>
      </w:pPr>
      <w:r>
        <w:t>Reduce and leverage waste, implementing new environmental practices starting in 2024, progressively.</w:t>
      </w:r>
    </w:p>
    <w:p w14:paraId="0000000B" w14:textId="77777777" w:rsidR="006179BF" w:rsidRDefault="00B81CF8">
      <w:pPr>
        <w:jc w:val="both"/>
      </w:pPr>
      <w:r>
        <w:t xml:space="preserve">We recognize the importance of incorporating sustainable practices that promote environmental </w:t>
      </w:r>
      <w:r>
        <w:t>preservation, social well-being, and economic balance. Therefore, we are firmly committed to these five lines of action, which are part of our strategic vision and corporate responsibility.</w:t>
      </w:r>
    </w:p>
    <w:p w14:paraId="760FEB5F" w14:textId="77777777" w:rsidR="009A3EE6" w:rsidRDefault="00B81CF8" w:rsidP="009A3EE6">
      <w:pPr>
        <w:spacing w:after="0"/>
        <w:ind w:left="360"/>
      </w:pPr>
      <w:r>
        <w:rPr>
          <w:b/>
        </w:rPr>
        <w:t>Waste Management</w:t>
      </w:r>
      <w:r>
        <w:br/>
      </w:r>
      <w:r>
        <w:rPr>
          <w:b/>
        </w:rPr>
        <w:t>1.1</w:t>
      </w:r>
      <w:r>
        <w:t xml:space="preserve"> </w:t>
      </w:r>
      <w:r>
        <w:rPr>
          <w:b/>
        </w:rPr>
        <w:t>Recycling System</w:t>
      </w:r>
      <w:r>
        <w:br/>
      </w:r>
    </w:p>
    <w:p w14:paraId="53802D55" w14:textId="52F1EE32" w:rsidR="009A3EE6" w:rsidRDefault="00B81CF8" w:rsidP="009A3EE6">
      <w:pPr>
        <w:ind w:left="360"/>
        <w:jc w:val="both"/>
      </w:pPr>
      <w:r>
        <w:t>This involves the implementa</w:t>
      </w:r>
      <w:r>
        <w:t>tion of recycling bins and educating attendees on how to properly separate waste. Recyclable materials such as plastic, paper, cardboard, and glass should be collected.</w:t>
      </w:r>
    </w:p>
    <w:p w14:paraId="4392A066" w14:textId="77777777" w:rsidR="009A3EE6" w:rsidRDefault="009A3EE6" w:rsidP="009A3EE6">
      <w:pPr>
        <w:spacing w:after="0"/>
        <w:ind w:left="360"/>
      </w:pPr>
    </w:p>
    <w:p w14:paraId="6E3328AB" w14:textId="264BC35D" w:rsidR="009A3EE6" w:rsidRDefault="00B81CF8" w:rsidP="009A3EE6">
      <w:pPr>
        <w:spacing w:after="0"/>
        <w:ind w:left="360"/>
      </w:pPr>
      <w:r>
        <w:br/>
      </w:r>
      <w:r>
        <w:rPr>
          <w:b/>
        </w:rPr>
        <w:t>1.2</w:t>
      </w:r>
      <w:r>
        <w:t xml:space="preserve"> </w:t>
      </w:r>
      <w:r>
        <w:rPr>
          <w:b/>
        </w:rPr>
        <w:t>Reduction of Single-Use Plastics</w:t>
      </w:r>
      <w:r>
        <w:br/>
      </w:r>
    </w:p>
    <w:p w14:paraId="070C6F8F" w14:textId="77777777" w:rsidR="009A3EE6" w:rsidRDefault="00B81CF8" w:rsidP="009A3EE6">
      <w:pPr>
        <w:ind w:left="360"/>
        <w:jc w:val="both"/>
      </w:pPr>
      <w:r>
        <w:t>The aim is to reduce the consumption of disposab</w:t>
      </w:r>
      <w:r>
        <w:t>le plastics, such as water bottles and plastic utensils, by promoting reusable alternatives and the availability of water refill stations.</w:t>
      </w:r>
    </w:p>
    <w:p w14:paraId="0DF458B9" w14:textId="77777777" w:rsidR="009A3EE6" w:rsidRDefault="00B81CF8" w:rsidP="009A3EE6">
      <w:pPr>
        <w:spacing w:after="0"/>
        <w:ind w:left="360"/>
      </w:pPr>
      <w:r>
        <w:br/>
      </w:r>
      <w:r>
        <w:rPr>
          <w:b/>
        </w:rPr>
        <w:t>1.3 Collaboration with Recycling Companies</w:t>
      </w:r>
      <w:r>
        <w:br/>
      </w:r>
    </w:p>
    <w:p w14:paraId="0000000D" w14:textId="71FC6AD4" w:rsidR="006179BF" w:rsidRDefault="00B81CF8" w:rsidP="009A3EE6">
      <w:pPr>
        <w:ind w:left="360"/>
        <w:jc w:val="both"/>
      </w:pPr>
      <w:r>
        <w:t>Agreements can be established with local recycling companies to ensure tha</w:t>
      </w:r>
      <w:r>
        <w:t>t recycled materials are properly processed and given new use.</w:t>
      </w:r>
    </w:p>
    <w:p w14:paraId="7B9B2BA4" w14:textId="77777777" w:rsidR="009A3EE6" w:rsidRDefault="009A3EE6" w:rsidP="009A3EE6">
      <w:pPr>
        <w:spacing w:after="0"/>
        <w:ind w:left="360"/>
        <w:jc w:val="both"/>
      </w:pPr>
    </w:p>
    <w:p w14:paraId="3BE67806" w14:textId="77777777" w:rsidR="009A3EE6" w:rsidRDefault="00B81CF8" w:rsidP="009A3EE6">
      <w:pPr>
        <w:spacing w:after="0"/>
        <w:ind w:left="360"/>
      </w:pPr>
      <w:r>
        <w:rPr>
          <w:b/>
        </w:rPr>
        <w:t>Local and Responsible Economy</w:t>
      </w:r>
      <w:r>
        <w:br/>
      </w:r>
      <w:r>
        <w:rPr>
          <w:b/>
        </w:rPr>
        <w:t>2.1 Purchase of Local Products</w:t>
      </w:r>
      <w:r>
        <w:br/>
      </w:r>
    </w:p>
    <w:p w14:paraId="5999BC6F" w14:textId="77777777" w:rsidR="009A3EE6" w:rsidRDefault="00B81CF8" w:rsidP="009A3EE6">
      <w:pPr>
        <w:ind w:left="360"/>
        <w:jc w:val="both"/>
      </w:pPr>
      <w:r>
        <w:t xml:space="preserve">Promote the purchase of local food, products, and crafts during the carnival to support local businesses and stimulate the region’s </w:t>
      </w:r>
      <w:r>
        <w:t>economy.</w:t>
      </w:r>
    </w:p>
    <w:p w14:paraId="725E68AD" w14:textId="77777777" w:rsidR="009A3EE6" w:rsidRDefault="00B81CF8" w:rsidP="009A3EE6">
      <w:pPr>
        <w:spacing w:after="0"/>
        <w:ind w:left="360"/>
      </w:pPr>
      <w:r>
        <w:br/>
        <w:t xml:space="preserve">2.2 </w:t>
      </w:r>
      <w:r>
        <w:rPr>
          <w:b/>
        </w:rPr>
        <w:t>Investment in the Community</w:t>
      </w:r>
      <w:r>
        <w:br/>
      </w:r>
    </w:p>
    <w:p w14:paraId="0000000E" w14:textId="56E3BE7C" w:rsidR="006179BF" w:rsidRDefault="00B81CF8" w:rsidP="009A3EE6">
      <w:pPr>
        <w:ind w:left="360"/>
        <w:jc w:val="both"/>
      </w:pPr>
      <w:r>
        <w:t>Allocate part of the revenues generated by the carnival to sustainable community development projects, such as improvements to local infrastructure, educational programs, or environmental projects</w:t>
      </w:r>
      <w:r w:rsidR="009A3EE6">
        <w:t>.</w:t>
      </w:r>
    </w:p>
    <w:p w14:paraId="7A0F830B" w14:textId="77777777" w:rsidR="009A3EE6" w:rsidRDefault="009A3EE6" w:rsidP="009A3EE6">
      <w:pPr>
        <w:spacing w:after="0"/>
        <w:ind w:left="360"/>
      </w:pPr>
    </w:p>
    <w:p w14:paraId="239C1784" w14:textId="77777777" w:rsidR="009A3EE6" w:rsidRDefault="00B81CF8" w:rsidP="009A3EE6">
      <w:pPr>
        <w:spacing w:after="0"/>
        <w:ind w:left="360"/>
      </w:pPr>
      <w:r>
        <w:rPr>
          <w:b/>
        </w:rPr>
        <w:t>2.3</w:t>
      </w:r>
      <w:r>
        <w:t xml:space="preserve"> </w:t>
      </w:r>
      <w:r>
        <w:rPr>
          <w:b/>
        </w:rPr>
        <w:t>Partnerships w</w:t>
      </w:r>
      <w:r>
        <w:rPr>
          <w:b/>
        </w:rPr>
        <w:t>ith Local Businesses</w:t>
      </w:r>
      <w:r>
        <w:br/>
      </w:r>
    </w:p>
    <w:p w14:paraId="27DF7BA8" w14:textId="66E8FA9E" w:rsidR="009A3EE6" w:rsidRDefault="00B81CF8" w:rsidP="009A3EE6">
      <w:pPr>
        <w:ind w:left="360"/>
        <w:jc w:val="both"/>
      </w:pPr>
      <w:r>
        <w:t>Collaborate with local companies to provide services and supplies, contributing to the local economy and reducing the environmental footprint associated with transporting products from distant locations.</w:t>
      </w:r>
    </w:p>
    <w:p w14:paraId="292F96FA" w14:textId="77777777" w:rsidR="009A3EE6" w:rsidRDefault="00B81CF8" w:rsidP="009A3EE6">
      <w:pPr>
        <w:spacing w:after="0"/>
        <w:ind w:left="360"/>
      </w:pPr>
      <w:r>
        <w:rPr>
          <w:b/>
        </w:rPr>
        <w:lastRenderedPageBreak/>
        <w:t>Community Engagement</w:t>
      </w:r>
      <w:r>
        <w:br/>
      </w:r>
      <w:r>
        <w:rPr>
          <w:b/>
        </w:rPr>
        <w:t>3.1 Local</w:t>
      </w:r>
      <w:r>
        <w:rPr>
          <w:b/>
        </w:rPr>
        <w:t xml:space="preserve"> Involvement</w:t>
      </w:r>
      <w:r>
        <w:br/>
      </w:r>
    </w:p>
    <w:p w14:paraId="00000011" w14:textId="21BFBE67" w:rsidR="006179BF" w:rsidRDefault="00B81CF8" w:rsidP="009A3EE6">
      <w:pPr>
        <w:spacing w:after="0"/>
        <w:ind w:left="360"/>
        <w:jc w:val="both"/>
      </w:pPr>
      <w:r>
        <w:t>Work closely with the local community in the planning and execution of the carnival. This may include the participation of local cultural groups and collaboration with community leaders.</w:t>
      </w:r>
    </w:p>
    <w:p w14:paraId="53F83721" w14:textId="77777777" w:rsidR="009A3EE6" w:rsidRDefault="009A3EE6">
      <w:pPr>
        <w:ind w:left="360"/>
        <w:jc w:val="both"/>
      </w:pPr>
    </w:p>
    <w:p w14:paraId="4DFB50E6" w14:textId="77777777" w:rsidR="009A3EE6" w:rsidRDefault="00B81CF8" w:rsidP="009A3EE6">
      <w:pPr>
        <w:spacing w:after="0"/>
        <w:ind w:left="360"/>
      </w:pPr>
      <w:r>
        <w:rPr>
          <w:b/>
        </w:rPr>
        <w:t>3.2 Environmental and Cultural Education</w:t>
      </w:r>
      <w:r>
        <w:br/>
      </w:r>
    </w:p>
    <w:p w14:paraId="00000012" w14:textId="3D5B76AD" w:rsidR="006179BF" w:rsidRDefault="00B81CF8">
      <w:pPr>
        <w:ind w:left="360"/>
        <w:jc w:val="both"/>
      </w:pPr>
      <w:r>
        <w:t>Organize educat</w:t>
      </w:r>
      <w:r>
        <w:t>ional activities that highlight the importance of local culture and environmental sustainability. This may include workshops, talks, and exhibitions.</w:t>
      </w:r>
    </w:p>
    <w:p w14:paraId="78E48CA2" w14:textId="77777777" w:rsidR="009A3EE6" w:rsidRDefault="009A3EE6">
      <w:pPr>
        <w:ind w:left="360"/>
        <w:jc w:val="both"/>
      </w:pPr>
    </w:p>
    <w:p w14:paraId="00000013" w14:textId="77777777" w:rsidR="006179BF" w:rsidRDefault="00B81C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</w:rPr>
        <w:t xml:space="preserve"> </w:t>
      </w:r>
      <w:r>
        <w:rPr>
          <w:b/>
          <w:color w:val="000000"/>
        </w:rPr>
        <w:t>Support for Social Projects</w:t>
      </w:r>
    </w:p>
    <w:p w14:paraId="00000014" w14:textId="77777777" w:rsidR="006179BF" w:rsidRDefault="00B81CF8">
      <w:pPr>
        <w:ind w:left="360"/>
        <w:jc w:val="both"/>
      </w:pPr>
      <w:r>
        <w:t>Allocate part of the carnival's revenue to local social projects that benefit</w:t>
      </w:r>
      <w:r>
        <w:t xml:space="preserve"> the community, such as the construction of educational infrastructure or support health programs.</w:t>
      </w:r>
    </w:p>
    <w:p w14:paraId="00000015" w14:textId="77777777" w:rsidR="006179BF" w:rsidRDefault="006179BF" w:rsidP="009A3EE6">
      <w:pPr>
        <w:spacing w:after="0"/>
        <w:ind w:left="360"/>
        <w:jc w:val="both"/>
      </w:pPr>
    </w:p>
    <w:p w14:paraId="3A9D9FE5" w14:textId="77777777" w:rsidR="009A3EE6" w:rsidRDefault="00B81CF8" w:rsidP="009A3EE6">
      <w:pPr>
        <w:spacing w:after="0"/>
        <w:ind w:left="360"/>
      </w:pPr>
      <w:r>
        <w:rPr>
          <w:b/>
        </w:rPr>
        <w:t>Sustainable Mobility</w:t>
      </w:r>
      <w:r>
        <w:br/>
      </w:r>
      <w:r>
        <w:rPr>
          <w:b/>
        </w:rPr>
        <w:t>4.1</w:t>
      </w:r>
      <w:r>
        <w:t xml:space="preserve"> </w:t>
      </w:r>
      <w:r>
        <w:rPr>
          <w:b/>
        </w:rPr>
        <w:t>Public and Non-Motorized Transport</w:t>
      </w:r>
      <w:r>
        <w:br/>
      </w:r>
    </w:p>
    <w:p w14:paraId="7F9C41FA" w14:textId="77777777" w:rsidR="009A3EE6" w:rsidRDefault="00B81CF8">
      <w:pPr>
        <w:ind w:left="360"/>
        <w:jc w:val="both"/>
      </w:pPr>
      <w:r>
        <w:t>Promote the use of public transportation, bicycles, and walking as preferred options for getting around during the event. Safe bike routes and designated parking areas may be established.</w:t>
      </w:r>
    </w:p>
    <w:p w14:paraId="5BDED56D" w14:textId="77777777" w:rsidR="009A3EE6" w:rsidRDefault="00B81CF8" w:rsidP="009A3EE6">
      <w:pPr>
        <w:spacing w:after="0"/>
        <w:ind w:left="360"/>
      </w:pPr>
      <w:r>
        <w:br/>
      </w:r>
      <w:r>
        <w:rPr>
          <w:b/>
        </w:rPr>
        <w:t>4.2</w:t>
      </w:r>
      <w:r>
        <w:t xml:space="preserve"> </w:t>
      </w:r>
      <w:r>
        <w:rPr>
          <w:b/>
        </w:rPr>
        <w:t>Incentives for Carpooling</w:t>
      </w:r>
      <w:r>
        <w:br/>
      </w:r>
    </w:p>
    <w:p w14:paraId="0876E6F3" w14:textId="77777777" w:rsidR="009A3EE6" w:rsidRDefault="00B81CF8" w:rsidP="009A3EE6">
      <w:pPr>
        <w:spacing w:after="0"/>
        <w:ind w:left="360"/>
        <w:jc w:val="both"/>
      </w:pPr>
      <w:r>
        <w:t>Offer incentives, such as parking disc</w:t>
      </w:r>
      <w:r>
        <w:t>ounts, to encourage people to carpool and reduce the number of vehicles on the road.</w:t>
      </w:r>
    </w:p>
    <w:p w14:paraId="4B4A35E0" w14:textId="77777777" w:rsidR="009A3EE6" w:rsidRDefault="00B81CF8" w:rsidP="009A3EE6">
      <w:pPr>
        <w:spacing w:after="0"/>
        <w:ind w:left="360"/>
      </w:pPr>
      <w:r>
        <w:br/>
      </w:r>
      <w:r>
        <w:rPr>
          <w:b/>
        </w:rPr>
        <w:t>4.3 Pedestrian Accessibility</w:t>
      </w:r>
      <w:r>
        <w:br/>
      </w:r>
    </w:p>
    <w:p w14:paraId="64DFBE92" w14:textId="535E239E" w:rsidR="009A3EE6" w:rsidRDefault="00B81CF8" w:rsidP="009A3EE6">
      <w:pPr>
        <w:spacing w:after="0"/>
        <w:ind w:left="360"/>
        <w:jc w:val="both"/>
      </w:pPr>
      <w:r>
        <w:lastRenderedPageBreak/>
        <w:t>Design the carnival in a way that makes it easy for attendees to walk between different areas of the event, reducing the need for car travel.</w:t>
      </w:r>
    </w:p>
    <w:p w14:paraId="5D893552" w14:textId="77777777" w:rsidR="009A3EE6" w:rsidRDefault="009A3EE6" w:rsidP="009A3EE6">
      <w:pPr>
        <w:spacing w:after="0"/>
        <w:ind w:left="360"/>
        <w:jc w:val="both"/>
      </w:pPr>
    </w:p>
    <w:p w14:paraId="77513AC7" w14:textId="77777777" w:rsidR="009A3EE6" w:rsidRDefault="00B81CF8" w:rsidP="009A3EE6">
      <w:pPr>
        <w:spacing w:after="0"/>
        <w:ind w:left="360"/>
      </w:pPr>
      <w:r>
        <w:rPr>
          <w:b/>
        </w:rPr>
        <w:t>Energy Efficiency</w:t>
      </w:r>
      <w:r>
        <w:br/>
      </w:r>
      <w:r>
        <w:rPr>
          <w:b/>
        </w:rPr>
        <w:t>5.1</w:t>
      </w:r>
      <w:r>
        <w:t xml:space="preserve"> </w:t>
      </w:r>
      <w:r>
        <w:rPr>
          <w:b/>
        </w:rPr>
        <w:t>Renewable Energy Sources</w:t>
      </w:r>
      <w:r>
        <w:br/>
      </w:r>
    </w:p>
    <w:p w14:paraId="00000018" w14:textId="72E93D2B" w:rsidR="006179BF" w:rsidRDefault="00B81CF8">
      <w:pPr>
        <w:ind w:left="360"/>
        <w:jc w:val="both"/>
      </w:pPr>
      <w:r>
        <w:t>Use renewable energy sources, such as solar panels or wind generators, to power the carnival's energy needs, thus reducing carbon emissions.</w:t>
      </w:r>
    </w:p>
    <w:p w14:paraId="78DC8C5C" w14:textId="6B61563D" w:rsidR="009A3EE6" w:rsidRDefault="009A3EE6">
      <w:pPr>
        <w:ind w:left="360"/>
        <w:jc w:val="both"/>
      </w:pPr>
    </w:p>
    <w:p w14:paraId="1036460B" w14:textId="77777777" w:rsidR="009A3EE6" w:rsidRDefault="009A3EE6">
      <w:pPr>
        <w:ind w:left="360"/>
        <w:jc w:val="both"/>
      </w:pPr>
    </w:p>
    <w:p w14:paraId="18B4CE76" w14:textId="77777777" w:rsidR="009A3EE6" w:rsidRDefault="00B81CF8" w:rsidP="009A3EE6">
      <w:pPr>
        <w:spacing w:after="0"/>
        <w:ind w:left="360"/>
      </w:pPr>
      <w:r>
        <w:rPr>
          <w:b/>
        </w:rPr>
        <w:t>5.2 Efficient Energy Management</w:t>
      </w:r>
      <w:r>
        <w:br/>
      </w:r>
    </w:p>
    <w:p w14:paraId="00000019" w14:textId="7532E8DE" w:rsidR="006179BF" w:rsidRDefault="00B81CF8">
      <w:pPr>
        <w:ind w:left="360"/>
        <w:jc w:val="both"/>
      </w:pPr>
      <w:r>
        <w:t>Implement technologies and practices that reduce energy consumption, such as efficient LED lighting systems and smart energy management for the stages.</w:t>
      </w:r>
    </w:p>
    <w:p w14:paraId="3D1C89C7" w14:textId="77777777" w:rsidR="009A3EE6" w:rsidRDefault="009A3EE6" w:rsidP="009A3EE6">
      <w:pPr>
        <w:spacing w:after="0"/>
        <w:ind w:left="360"/>
        <w:jc w:val="both"/>
      </w:pPr>
    </w:p>
    <w:p w14:paraId="14A0E044" w14:textId="77777777" w:rsidR="009A3EE6" w:rsidRDefault="00B81CF8" w:rsidP="009A3EE6">
      <w:pPr>
        <w:spacing w:after="0"/>
        <w:ind w:left="360"/>
      </w:pPr>
      <w:r>
        <w:rPr>
          <w:b/>
        </w:rPr>
        <w:t>5.3</w:t>
      </w:r>
      <w:r>
        <w:t xml:space="preserve"> </w:t>
      </w:r>
      <w:r>
        <w:rPr>
          <w:b/>
        </w:rPr>
        <w:t>Awareness of Energy Savings</w:t>
      </w:r>
      <w:r>
        <w:br/>
      </w:r>
    </w:p>
    <w:p w14:paraId="0000001A" w14:textId="3C210328" w:rsidR="006179BF" w:rsidRDefault="00B81CF8">
      <w:pPr>
        <w:ind w:left="360"/>
        <w:jc w:val="both"/>
      </w:pPr>
      <w:r>
        <w:t xml:space="preserve">Promote the importance of energy saving among participants, encouraging </w:t>
      </w:r>
      <w:r>
        <w:t>the disconnection of unnecessary electronic devices and turning off of unused lights.</w:t>
      </w:r>
    </w:p>
    <w:p w14:paraId="5982F344" w14:textId="77777777" w:rsidR="009A3EE6" w:rsidRDefault="009A3EE6" w:rsidP="009A3EE6">
      <w:pPr>
        <w:spacing w:after="0"/>
        <w:ind w:left="360"/>
        <w:jc w:val="both"/>
      </w:pPr>
    </w:p>
    <w:p w14:paraId="14547ACF" w14:textId="77777777" w:rsidR="009A3EE6" w:rsidRDefault="00B81CF8" w:rsidP="009A3EE6">
      <w:pPr>
        <w:spacing w:after="0"/>
        <w:ind w:left="360"/>
      </w:pPr>
      <w:r>
        <w:rPr>
          <w:b/>
        </w:rPr>
        <w:t>6. Validity</w:t>
      </w:r>
      <w:r>
        <w:br/>
      </w:r>
    </w:p>
    <w:p w14:paraId="0000001B" w14:textId="50CE45B1" w:rsidR="006179BF" w:rsidRDefault="00B81CF8">
      <w:pPr>
        <w:ind w:left="360"/>
        <w:jc w:val="both"/>
      </w:pPr>
      <w:r>
        <w:t>T</w:t>
      </w:r>
      <w:r>
        <w:t>his Environmental Policy is effective from its approval by the Board of Directors and the Sustainability Committee, and will be subject to updates as new leg</w:t>
      </w:r>
      <w:r>
        <w:t xml:space="preserve">al provisions are made or new regulations are issued on the matter. </w:t>
      </w:r>
    </w:p>
    <w:sectPr w:rsidR="006179BF" w:rsidSect="009F3186">
      <w:headerReference w:type="default" r:id="rId8"/>
      <w:footerReference w:type="default" r:id="rId9"/>
      <w:pgSz w:w="12240" w:h="15840"/>
      <w:pgMar w:top="1843" w:right="1701" w:bottom="1417" w:left="1701" w:header="708" w:footer="3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83B1" w14:textId="77777777" w:rsidR="009A3EE6" w:rsidRDefault="009A3EE6" w:rsidP="009A3EE6">
      <w:pPr>
        <w:spacing w:after="0" w:line="240" w:lineRule="auto"/>
      </w:pPr>
      <w:r>
        <w:separator/>
      </w:r>
    </w:p>
  </w:endnote>
  <w:endnote w:type="continuationSeparator" w:id="0">
    <w:p w14:paraId="449CECE8" w14:textId="77777777" w:rsidR="009A3EE6" w:rsidRDefault="009A3EE6" w:rsidP="009A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543F" w14:textId="77777777" w:rsidR="009F3186" w:rsidRDefault="009F3186" w:rsidP="009F318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ahoma" w:eastAsia="Tahoma" w:hAnsi="Tahoma" w:cs="Tahoma"/>
        <w:color w:val="000000"/>
        <w:sz w:val="28"/>
        <w:szCs w:val="28"/>
      </w:rPr>
    </w:pPr>
  </w:p>
  <w:tbl>
    <w:tblPr>
      <w:tblW w:w="9214" w:type="dxa"/>
      <w:tblBorders>
        <w:top w:val="single" w:sz="18" w:space="0" w:color="000000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400" w:firstRow="0" w:lastRow="0" w:firstColumn="0" w:lastColumn="0" w:noHBand="0" w:noVBand="1"/>
    </w:tblPr>
    <w:tblGrid>
      <w:gridCol w:w="4405"/>
      <w:gridCol w:w="4809"/>
    </w:tblGrid>
    <w:tr w:rsidR="009F3186" w14:paraId="220ACF4C" w14:textId="77777777" w:rsidTr="009E530C">
      <w:tc>
        <w:tcPr>
          <w:tcW w:w="4405" w:type="dxa"/>
        </w:tcPr>
        <w:p w14:paraId="5564BC9E" w14:textId="77777777" w:rsidR="009F3186" w:rsidRDefault="009F3186" w:rsidP="009F3186">
          <w:pPr>
            <w:tabs>
              <w:tab w:val="center" w:pos="4419"/>
              <w:tab w:val="right" w:pos="8838"/>
            </w:tabs>
            <w:spacing w:after="0"/>
            <w:rPr>
              <w:rFonts w:ascii="Arial Narrow" w:eastAsia="Arial Narrow" w:hAnsi="Arial Narrow" w:cs="Arial Narrow"/>
              <w:sz w:val="18"/>
              <w:szCs w:val="18"/>
            </w:rPr>
          </w:pPr>
          <w:proofErr w:type="spellStart"/>
          <w:r>
            <w:rPr>
              <w:rFonts w:ascii="Arial Narrow" w:eastAsia="Arial Narrow" w:hAnsi="Arial Narrow" w:cs="Arial Narrow"/>
              <w:sz w:val="18"/>
              <w:szCs w:val="18"/>
            </w:rPr>
            <w:t>Elaborado</w:t>
          </w:r>
          <w:proofErr w:type="spellEnd"/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y </w:t>
          </w:r>
          <w:proofErr w:type="spellStart"/>
          <w:r>
            <w:rPr>
              <w:rFonts w:ascii="Arial Narrow" w:eastAsia="Arial Narrow" w:hAnsi="Arial Narrow" w:cs="Arial Narrow"/>
              <w:sz w:val="18"/>
              <w:szCs w:val="18"/>
            </w:rPr>
            <w:t>Revisado</w:t>
          </w:r>
          <w:proofErr w:type="spellEnd"/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por: </w:t>
          </w:r>
        </w:p>
        <w:p w14:paraId="29CA3279" w14:textId="77777777" w:rsidR="009F3186" w:rsidRDefault="009F3186" w:rsidP="009F3186">
          <w:pPr>
            <w:tabs>
              <w:tab w:val="center" w:pos="4419"/>
              <w:tab w:val="right" w:pos="8838"/>
            </w:tabs>
            <w:spacing w:after="0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Luz Alejandra Aguilar – </w:t>
          </w:r>
          <w:proofErr w:type="spellStart"/>
          <w:r>
            <w:rPr>
              <w:rFonts w:ascii="Arial Narrow" w:eastAsia="Arial Narrow" w:hAnsi="Arial Narrow" w:cs="Arial Narrow"/>
              <w:sz w:val="18"/>
              <w:szCs w:val="18"/>
            </w:rPr>
            <w:t>Asesor</w:t>
          </w:r>
          <w:proofErr w:type="spellEnd"/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de </w:t>
          </w:r>
          <w:proofErr w:type="spellStart"/>
          <w:r>
            <w:rPr>
              <w:rFonts w:ascii="Arial Narrow" w:eastAsia="Arial Narrow" w:hAnsi="Arial Narrow" w:cs="Arial Narrow"/>
              <w:sz w:val="18"/>
              <w:szCs w:val="18"/>
            </w:rPr>
            <w:t>Sostenibilidad</w:t>
          </w:r>
          <w:proofErr w:type="spellEnd"/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</w:t>
          </w:r>
        </w:p>
        <w:p w14:paraId="462F3CD3" w14:textId="5D59CEAE" w:rsidR="009F3186" w:rsidRDefault="009F3186" w:rsidP="009F3186">
          <w:pPr>
            <w:tabs>
              <w:tab w:val="center" w:pos="4419"/>
              <w:tab w:val="right" w:pos="8838"/>
            </w:tabs>
            <w:spacing w:after="0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Valerie </w:t>
          </w:r>
          <w:proofErr w:type="spellStart"/>
          <w:r>
            <w:rPr>
              <w:rFonts w:ascii="Arial Narrow" w:eastAsia="Arial Narrow" w:hAnsi="Arial Narrow" w:cs="Arial Narrow"/>
              <w:sz w:val="18"/>
              <w:szCs w:val="18"/>
            </w:rPr>
            <w:t>Ayos</w:t>
          </w:r>
          <w:proofErr w:type="spellEnd"/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Gómez – Gestor de </w:t>
          </w:r>
          <w:proofErr w:type="spellStart"/>
          <w:r>
            <w:rPr>
              <w:rFonts w:ascii="Arial Narrow" w:eastAsia="Arial Narrow" w:hAnsi="Arial Narrow" w:cs="Arial Narrow"/>
              <w:sz w:val="18"/>
              <w:szCs w:val="18"/>
            </w:rPr>
            <w:t>Sostenibilidad</w:t>
          </w:r>
          <w:proofErr w:type="spellEnd"/>
        </w:p>
      </w:tc>
      <w:tc>
        <w:tcPr>
          <w:tcW w:w="4809" w:type="dxa"/>
        </w:tcPr>
        <w:p w14:paraId="1D3D4FCF" w14:textId="595AC3A6" w:rsidR="009F3186" w:rsidRDefault="009F3186" w:rsidP="009F3186">
          <w:pPr>
            <w:tabs>
              <w:tab w:val="center" w:pos="4419"/>
              <w:tab w:val="right" w:pos="8838"/>
            </w:tabs>
            <w:spacing w:after="0"/>
            <w:ind w:left="589"/>
            <w:rPr>
              <w:rFonts w:ascii="Arial Narrow" w:eastAsia="Arial Narrow" w:hAnsi="Arial Narrow" w:cs="Arial Narrow"/>
              <w:sz w:val="18"/>
              <w:szCs w:val="18"/>
            </w:rPr>
          </w:pPr>
          <w:proofErr w:type="spellStart"/>
          <w:r>
            <w:rPr>
              <w:rFonts w:ascii="Arial Narrow" w:eastAsia="Arial Narrow" w:hAnsi="Arial Narrow" w:cs="Arial Narrow"/>
              <w:sz w:val="18"/>
              <w:szCs w:val="18"/>
            </w:rPr>
            <w:t>Aprobado</w:t>
          </w:r>
          <w:proofErr w:type="spellEnd"/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por:</w:t>
          </w:r>
        </w:p>
        <w:p w14:paraId="0A109A5D" w14:textId="22EBC378" w:rsidR="009F3186" w:rsidRDefault="009F3186" w:rsidP="009F3186">
          <w:pPr>
            <w:tabs>
              <w:tab w:val="center" w:pos="4419"/>
              <w:tab w:val="right" w:pos="8838"/>
            </w:tabs>
            <w:spacing w:after="0"/>
            <w:ind w:left="589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Luisa Pinzón – </w:t>
          </w:r>
          <w:proofErr w:type="spellStart"/>
          <w:r>
            <w:rPr>
              <w:rFonts w:ascii="Arial Narrow" w:eastAsia="Arial Narrow" w:hAnsi="Arial Narrow" w:cs="Arial Narrow"/>
              <w:sz w:val="18"/>
              <w:szCs w:val="18"/>
            </w:rPr>
            <w:t>Asesor</w:t>
          </w:r>
          <w:proofErr w:type="spellEnd"/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sz w:val="18"/>
              <w:szCs w:val="18"/>
            </w:rPr>
            <w:t>Externo</w:t>
          </w:r>
          <w:proofErr w:type="spellEnd"/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 </w:t>
          </w:r>
        </w:p>
        <w:p w14:paraId="542B73EB" w14:textId="77777777" w:rsidR="009F3186" w:rsidRDefault="009F3186" w:rsidP="009F3186">
          <w:pPr>
            <w:tabs>
              <w:tab w:val="center" w:pos="4419"/>
              <w:tab w:val="right" w:pos="8838"/>
            </w:tabs>
            <w:ind w:left="589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</w:tr>
    <w:tr w:rsidR="009F3186" w14:paraId="2D86F449" w14:textId="77777777" w:rsidTr="009E530C">
      <w:tc>
        <w:tcPr>
          <w:tcW w:w="9214" w:type="dxa"/>
          <w:gridSpan w:val="2"/>
        </w:tcPr>
        <w:p w14:paraId="13BF50AF" w14:textId="77777777" w:rsidR="009F3186" w:rsidRDefault="009F3186" w:rsidP="009F3186">
          <w:pP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 xml:space="preserve">Una </w:t>
          </w:r>
          <w:proofErr w:type="spellStart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>vez</w:t>
          </w:r>
          <w:proofErr w:type="spellEnd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>descargado</w:t>
          </w:r>
          <w:proofErr w:type="spellEnd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 xml:space="preserve"> o </w:t>
          </w:r>
          <w:proofErr w:type="spellStart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>impreso</w:t>
          </w:r>
          <w:proofErr w:type="spellEnd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>este</w:t>
          </w:r>
          <w:proofErr w:type="spellEnd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>documento</w:t>
          </w:r>
          <w:proofErr w:type="spellEnd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 xml:space="preserve"> se </w:t>
          </w:r>
          <w:proofErr w:type="spellStart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>considerará</w:t>
          </w:r>
          <w:proofErr w:type="spellEnd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>como</w:t>
          </w:r>
          <w:proofErr w:type="spellEnd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>Copia</w:t>
          </w:r>
          <w:proofErr w:type="spellEnd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 xml:space="preserve"> no </w:t>
          </w:r>
          <w:proofErr w:type="spellStart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>Controlada</w:t>
          </w:r>
          <w:proofErr w:type="spellEnd"/>
          <w:r>
            <w:rPr>
              <w:rFonts w:ascii="Arial Narrow" w:eastAsia="Arial Narrow" w:hAnsi="Arial Narrow" w:cs="Arial Narrow"/>
              <w:b/>
              <w:i/>
              <w:sz w:val="18"/>
              <w:szCs w:val="18"/>
            </w:rPr>
            <w:t>.</w:t>
          </w:r>
        </w:p>
      </w:tc>
    </w:tr>
  </w:tbl>
  <w:p w14:paraId="5BA1EB0D" w14:textId="5EE17C84" w:rsidR="009F3186" w:rsidRPr="009F3186" w:rsidRDefault="009F3186" w:rsidP="009F31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286FDF" wp14:editId="5B58AD21">
              <wp:simplePos x="0" y="0"/>
              <wp:positionH relativeFrom="column">
                <wp:posOffset>12701</wp:posOffset>
              </wp:positionH>
              <wp:positionV relativeFrom="paragraph">
                <wp:posOffset>6210300</wp:posOffset>
              </wp:positionV>
              <wp:extent cx="913130" cy="529590"/>
              <wp:effectExtent l="0" t="0" r="0" b="0"/>
              <wp:wrapNone/>
              <wp:docPr id="2082282764" name="Rectángulo 20822827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898960" y="3524730"/>
                        <a:ext cx="89408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BC085" w14:textId="77777777" w:rsidR="009F3186" w:rsidRDefault="009F3186" w:rsidP="009F3186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PAGE    \* MERGEFORMAT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44"/>
                            </w:rPr>
                            <w:t>21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286FDF" id="Rectángulo 2082282764" o:spid="_x0000_s1027" style="position:absolute;margin-left:1pt;margin-top:489pt;width:71.9pt;height:41.7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+Y7wEAAKsDAAAOAAAAZHJzL2Uyb0RvYy54bWysU1tu2zAQ/C/QOxD8j/WIZMuC5aBo4KJA&#10;0BpJcwCaoiwCEskuaUs+Ts/Si3VJqYnb/BX1B8F9eLgzO9rcjX1HzgKs1KqiySKmRCiua6mOFX3+&#10;trspKLGOqZp1WomKXoSld9v37zaDKUWqW93VAgiCKFsOpqKtc6aMIstb0TO70EYoLDYaeuYwhGNU&#10;AxsQve+iNI6X0aChNqC5sBaz91ORbgN+0wjuvjaNFY50FcXZXDghnAd/RtsNK4/ATCv5PAb7hyl6&#10;JhU++gJ1zxwjJ5BvoHrJQVvduAXXfaSbRnIROCCbJP6LzVPLjAhcUBxrXmSy/w+Wfznvgci6omlc&#10;pGmRrpYZJYr1uKtHVO/nD3U8dZpcVVGywdgS//lk9jBHFq+e/9hAT0Cjzjd5FvtfkAWJkrGiWbEu&#10;1kvcw6Wit3marW7nDYjREY4NxTqLC6xzbMiTGCH8hqIJ1+MbsO6T0D3xl4oCjhgeYOcH66bW3y2+&#10;Xemd7DrMs7JTfyQQ02ciT2Ua3t/ceBiDGol/12cOur6gQtbwncQnH5h1ewbokYSSAX1TUfv9xEBQ&#10;0n1WuJh1kqU5Gi0EWb5CAQhcVw7XFaZ4q9GO3AElU/DRBXtOw344Od3IQOx1mHlqdESQZnavt9x1&#10;HLpev7HtLwAAAP//AwBQSwMEFAAGAAgAAAAhAIY0D/XhAAAACwEAAA8AAABkcnMvZG93bnJldi54&#10;bWxMj01PwkAQhu8m/ofNmHiTbStWKN0SY0KUIx8SjsN2aIvd2aa7QP33Lie9zWSevPO8+XwwrbhQ&#10;7xrLCuJRBIJY27LhSsF2s3iagHAeucTWMin4IQfz4v4ux6y0V17RZe0rEULYZaig9r7LpHS6JoNu&#10;ZDvicDva3qAPa1/JssdrCDetTKIolQYbDh9q7Oi9Jv29PhsFnx/pTp/222XsNxPcHZcLPT59KfX4&#10;MLzNQHga/B8MN/2gDkVwOtgzl060Cp6TJJAKpuPXUOEGxC8piEMYommcgixy+b9D8QsAAP//AwBQ&#10;SwECLQAUAAYACAAAACEAtoM4kv4AAADhAQAAEwAAAAAAAAAAAAAAAAAAAAAAW0NvbnRlbnRfVHlw&#10;ZXNdLnhtbFBLAQItABQABgAIAAAAIQA4/SH/1gAAAJQBAAALAAAAAAAAAAAAAAAAAC8BAABfcmVs&#10;cy8ucmVsc1BLAQItABQABgAIAAAAIQDnqF+Y7wEAAKsDAAAOAAAAAAAAAAAAAAAAAC4CAABkcnMv&#10;ZTJvRG9jLnhtbFBLAQItABQABgAIAAAAIQCGNA/14QAAAAsBAAAPAAAAAAAAAAAAAAAAAEkEAABk&#10;cnMvZG93bnJldi54bWxQSwUGAAAAAAQABADzAAAAVwUAAAAA&#10;" filled="f" stroked="f">
              <v:textbox inset="2.53958mm,1.2694mm,2.53958mm,1.2694mm">
                <w:txbxContent>
                  <w:p w14:paraId="595BC085" w14:textId="77777777" w:rsidR="009F3186" w:rsidRDefault="009F3186" w:rsidP="009F3186">
                    <w:pPr>
                      <w:textDirection w:val="btLr"/>
                    </w:pPr>
                    <w:proofErr w:type="spellStart"/>
                    <w:r>
                      <w:rPr>
                        <w:rFonts w:ascii="Cambria" w:eastAsia="Cambria" w:hAnsi="Cambria" w:cs="Cambria"/>
                        <w:color w:val="000000"/>
                      </w:rPr>
                      <w:t>Página</w:t>
                    </w:r>
                    <w:proofErr w:type="spellEnd"/>
                    <w:r>
                      <w:rPr>
                        <w:rFonts w:ascii="Cambria" w:eastAsia="Cambria" w:hAnsi="Cambria" w:cs="Cambria"/>
                        <w:color w:val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PAGE    \* MERGEFORMAT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44"/>
                      </w:rPr>
                      <w:t>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DE2D" w14:textId="77777777" w:rsidR="009A3EE6" w:rsidRDefault="009A3EE6" w:rsidP="009A3EE6">
      <w:pPr>
        <w:spacing w:after="0" w:line="240" w:lineRule="auto"/>
      </w:pPr>
      <w:r>
        <w:separator/>
      </w:r>
    </w:p>
  </w:footnote>
  <w:footnote w:type="continuationSeparator" w:id="0">
    <w:p w14:paraId="30959A25" w14:textId="77777777" w:rsidR="009A3EE6" w:rsidRDefault="009A3EE6" w:rsidP="009A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2E23" w14:textId="060308D7" w:rsidR="009A3EE6" w:rsidRPr="009A3EE6" w:rsidRDefault="009F3186" w:rsidP="009A3EE6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AEEC308" wp14:editId="78E2D800">
          <wp:simplePos x="0" y="0"/>
          <wp:positionH relativeFrom="column">
            <wp:posOffset>-775335</wp:posOffset>
          </wp:positionH>
          <wp:positionV relativeFrom="paragraph">
            <wp:posOffset>-392430</wp:posOffset>
          </wp:positionV>
          <wp:extent cx="1133475" cy="990600"/>
          <wp:effectExtent l="0" t="0" r="9525" b="0"/>
          <wp:wrapNone/>
          <wp:docPr id="1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E115D95" wp14:editId="08C5EEE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4940" cy="1162050"/>
          <wp:effectExtent l="0" t="0" r="0" b="0"/>
          <wp:wrapNone/>
          <wp:docPr id="15" name="image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494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726621A" wp14:editId="36FB2B16">
              <wp:simplePos x="0" y="0"/>
              <wp:positionH relativeFrom="page">
                <wp:posOffset>2895600</wp:posOffset>
              </wp:positionH>
              <wp:positionV relativeFrom="paragraph">
                <wp:posOffset>-344805</wp:posOffset>
              </wp:positionV>
              <wp:extent cx="4819650" cy="561975"/>
              <wp:effectExtent l="0" t="0" r="0" b="9525"/>
              <wp:wrapNone/>
              <wp:docPr id="39" name="Rectá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24DF3" w14:textId="5536B200" w:rsidR="009F3186" w:rsidRPr="006845DE" w:rsidRDefault="009F3186" w:rsidP="009F318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28"/>
                              <w:szCs w:val="28"/>
                            </w:rPr>
                            <w:t>POLÍTICA AMBIENTAL Y DE SOSTENIBILIDAD</w:t>
                          </w:r>
                        </w:p>
                        <w:p w14:paraId="77A0A31F" w14:textId="14319181" w:rsidR="009F3186" w:rsidRPr="009F3186" w:rsidRDefault="009F3186" w:rsidP="009F3186">
                          <w:pPr>
                            <w:jc w:val="right"/>
                            <w:textDirection w:val="btLr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9F3186">
                            <w:rPr>
                              <w:rFonts w:ascii="Cambria" w:eastAsia="Cambria" w:hAnsi="Cambria" w:cs="Cambria"/>
                              <w:bCs/>
                              <w:color w:val="FFFFFF"/>
                              <w:sz w:val="20"/>
                              <w:szCs w:val="20"/>
                            </w:rPr>
                            <w:t>CS</w:t>
                          </w:r>
                          <w:r w:rsidRPr="009F3186">
                            <w:rPr>
                              <w:rFonts w:ascii="Cambria" w:eastAsia="Cambria" w:hAnsi="Cambria" w:cs="Cambria"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-003      </w:t>
                          </w:r>
                          <w:r w:rsidRPr="009F3186">
                            <w:rPr>
                              <w:rFonts w:ascii="Cambria" w:eastAsia="Cambria" w:hAnsi="Cambria" w:cs="Cambria"/>
                              <w:bCs/>
                              <w:color w:val="FFFFFF"/>
                              <w:sz w:val="20"/>
                              <w:szCs w:val="20"/>
                            </w:rPr>
                            <w:t>Version</w:t>
                          </w:r>
                          <w:r w:rsidRPr="009F3186">
                            <w:rPr>
                              <w:rFonts w:ascii="Cambria" w:eastAsia="Cambria" w:hAnsi="Cambria" w:cs="Cambria"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 1      01-0</w:t>
                          </w:r>
                          <w:r w:rsidRPr="009F3186">
                            <w:rPr>
                              <w:rFonts w:ascii="Cambria" w:eastAsia="Cambria" w:hAnsi="Cambria" w:cs="Cambria"/>
                              <w:bCs/>
                              <w:color w:val="FFFFFF"/>
                              <w:sz w:val="20"/>
                              <w:szCs w:val="20"/>
                            </w:rPr>
                            <w:t>6</w:t>
                          </w:r>
                          <w:r w:rsidRPr="009F3186">
                            <w:rPr>
                              <w:rFonts w:ascii="Cambria" w:eastAsia="Cambria" w:hAnsi="Cambria" w:cs="Cambria"/>
                              <w:bCs/>
                              <w:color w:val="FFFFFF"/>
                              <w:sz w:val="20"/>
                              <w:szCs w:val="20"/>
                            </w:rPr>
                            <w:t>-202</w:t>
                          </w:r>
                          <w:r w:rsidRPr="009F3186">
                            <w:rPr>
                              <w:rFonts w:ascii="Cambria" w:eastAsia="Cambria" w:hAnsi="Cambria" w:cs="Cambria"/>
                              <w:bCs/>
                              <w:color w:val="FFFFFF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689ED365" w14:textId="77777777" w:rsidR="009F3186" w:rsidRDefault="009F3186" w:rsidP="009F318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40"/>
                            </w:rPr>
                            <w:t xml:space="preserve">  </w:t>
                          </w:r>
                        </w:p>
                        <w:p w14:paraId="3020C2B4" w14:textId="77777777" w:rsidR="009F3186" w:rsidRDefault="009F3186" w:rsidP="009F3186">
                          <w:pPr>
                            <w:jc w:val="right"/>
                            <w:textDirection w:val="btLr"/>
                          </w:pPr>
                        </w:p>
                        <w:p w14:paraId="73DA3447" w14:textId="77777777" w:rsidR="009F3186" w:rsidRDefault="009F3186" w:rsidP="009F318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FFFFFF"/>
                              <w:sz w:val="12"/>
                            </w:rPr>
                            <w:t xml:space="preserve">GA-002     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b/>
                              <w:color w:val="FFFFFF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b/>
                              <w:color w:val="FFFFFF"/>
                              <w:sz w:val="12"/>
                            </w:rPr>
                            <w:t xml:space="preserve"> 1      01-06-2023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26621A" id="Rectángulo 39" o:spid="_x0000_s1026" style="position:absolute;margin-left:228pt;margin-top:-27.15pt;width:379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TPzQEAAHgDAAAOAAAAZHJzL2Uyb0RvYy54bWysU1uO0zAU/UdiD5b/qZPSdKZR0xFiVIQ0&#10;gmqGWYDr2I0lv7DdJl0Oa2FjXDuhU5g/xI97Xz0+5/hmfTdohU7cB2lNg8tZgRE3zLbSHBr8/G37&#10;7hajEKlpqbKGN/jMA77bvH2z7l3N57azquUeAYgJde8a3MXoakIC67imYWYdN9AU1msaIfUH0nra&#10;A7pWZF4US9Jb3zpvGQ8BqvdjE28yvhCcxa9CBB6RajBwi/n0+dynk2zWtD546jrJJhr0H1hoKg1c&#10;eoG6p5Gio5evoLRk3gYr4oxZTawQkvGsAdSUxV9qnjrqeNYC5gR3sSn8P1j25bTzSLYNfr/CyFAN&#10;b/QIrv38YQ5HZRFUwaLehRomn9zOT1mAMOkdhNfpF5SgIdt6vtjKh4gYFBe35WpZgfsMetWyXN1U&#10;CZS8/Nv5ED9xq1EKGuyBQHaTnh5CHEd/j6TLjN1KpaBOa2X+KABmqpBEeKSYojjsh4n33rZnEBwc&#10;20q464GGuKMenrzEqIc1aHD4fqSeY6Q+G/B5VS7mFexNThbVTQEy/HVnf92hhnUWtitiNIYfY961&#10;keOHY7RCZj2J1UhlIgvPmx2ZVjHtz3Wep14+mM0vAAAA//8DAFBLAwQUAAYACAAAACEAID0SV90A&#10;AAALAQAADwAAAGRycy9kb3ducmV2LnhtbEyPwU7DMBBE70j8g7VI3FonaRKhkE2FEBw4kvbA0Y2X&#10;JMJeR7HTpn+Pe4Lj7Ixm39T71RpxptmPjhHSbQKCuHN65B7heHjfPIHwQbFWxjEhXMnDvrm/q1Wl&#10;3YU/6dyGXsQS9pVCGEKYKil9N5BVfusm4uh9u9mqEOXcSz2rSyy3RmZJUkqrRo4fBjXR60DdT7tY&#10;hImMXkzeJl+dfJs5LT8O8logPj6sL88gAq3hLww3/IgOTWQ6uYW1FwYhL8q4JSBsinwH4pbI0iKe&#10;Tgi7PAPZ1PL/huYXAAD//wMAUEsBAi0AFAAGAAgAAAAhALaDOJL+AAAA4QEAABMAAAAAAAAAAAAA&#10;AAAAAAAAAFtDb250ZW50X1R5cGVzXS54bWxQSwECLQAUAAYACAAAACEAOP0h/9YAAACUAQAACwAA&#10;AAAAAAAAAAAAAAAvAQAAX3JlbHMvLnJlbHNQSwECLQAUAAYACAAAACEA/Mt0z80BAAB4AwAADgAA&#10;AAAAAAAAAAAAAAAuAgAAZHJzL2Uyb0RvYy54bWxQSwECLQAUAAYACAAAACEAID0SV90AAAALAQAA&#10;DwAAAAAAAAAAAAAAAAAnBAAAZHJzL2Rvd25yZXYueG1sUEsFBgAAAAAEAAQA8wAAADEFAAAAAA==&#10;" filled="f" stroked="f">
              <v:textbox inset="2.53958mm,1.2694mm,2.53958mm,1.2694mm">
                <w:txbxContent>
                  <w:p w14:paraId="5DB24DF3" w14:textId="5536B200" w:rsidR="009F3186" w:rsidRPr="006845DE" w:rsidRDefault="009F3186" w:rsidP="009F3186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  <w:sz w:val="28"/>
                        <w:szCs w:val="28"/>
                      </w:rPr>
                      <w:t>POLÍTICA AMBIENTAL Y DE SOSTENIBILIDAD</w:t>
                    </w:r>
                  </w:p>
                  <w:p w14:paraId="77A0A31F" w14:textId="14319181" w:rsidR="009F3186" w:rsidRPr="009F3186" w:rsidRDefault="009F3186" w:rsidP="009F3186">
                    <w:pPr>
                      <w:jc w:val="right"/>
                      <w:textDirection w:val="btLr"/>
                      <w:rPr>
                        <w:bCs/>
                        <w:sz w:val="20"/>
                        <w:szCs w:val="20"/>
                      </w:rPr>
                    </w:pPr>
                    <w:r w:rsidRPr="009F3186">
                      <w:rPr>
                        <w:rFonts w:ascii="Cambria" w:eastAsia="Cambria" w:hAnsi="Cambria" w:cs="Cambria"/>
                        <w:bCs/>
                        <w:color w:val="FFFFFF"/>
                        <w:sz w:val="20"/>
                        <w:szCs w:val="20"/>
                      </w:rPr>
                      <w:t>CS</w:t>
                    </w:r>
                    <w:r w:rsidRPr="009F3186">
                      <w:rPr>
                        <w:rFonts w:ascii="Cambria" w:eastAsia="Cambria" w:hAnsi="Cambria" w:cs="Cambria"/>
                        <w:bCs/>
                        <w:color w:val="FFFFFF"/>
                        <w:sz w:val="20"/>
                        <w:szCs w:val="20"/>
                      </w:rPr>
                      <w:t xml:space="preserve">-003      </w:t>
                    </w:r>
                    <w:r w:rsidRPr="009F3186">
                      <w:rPr>
                        <w:rFonts w:ascii="Cambria" w:eastAsia="Cambria" w:hAnsi="Cambria" w:cs="Cambria"/>
                        <w:bCs/>
                        <w:color w:val="FFFFFF"/>
                        <w:sz w:val="20"/>
                        <w:szCs w:val="20"/>
                      </w:rPr>
                      <w:t>Version</w:t>
                    </w:r>
                    <w:r w:rsidRPr="009F3186">
                      <w:rPr>
                        <w:rFonts w:ascii="Cambria" w:eastAsia="Cambria" w:hAnsi="Cambria" w:cs="Cambria"/>
                        <w:bCs/>
                        <w:color w:val="FFFFFF"/>
                        <w:sz w:val="20"/>
                        <w:szCs w:val="20"/>
                      </w:rPr>
                      <w:t xml:space="preserve"> 1      01-0</w:t>
                    </w:r>
                    <w:r w:rsidRPr="009F3186">
                      <w:rPr>
                        <w:rFonts w:ascii="Cambria" w:eastAsia="Cambria" w:hAnsi="Cambria" w:cs="Cambria"/>
                        <w:bCs/>
                        <w:color w:val="FFFFFF"/>
                        <w:sz w:val="20"/>
                        <w:szCs w:val="20"/>
                      </w:rPr>
                      <w:t>6</w:t>
                    </w:r>
                    <w:r w:rsidRPr="009F3186">
                      <w:rPr>
                        <w:rFonts w:ascii="Cambria" w:eastAsia="Cambria" w:hAnsi="Cambria" w:cs="Cambria"/>
                        <w:bCs/>
                        <w:color w:val="FFFFFF"/>
                        <w:sz w:val="20"/>
                        <w:szCs w:val="20"/>
                      </w:rPr>
                      <w:t>-202</w:t>
                    </w:r>
                    <w:r w:rsidRPr="009F3186">
                      <w:rPr>
                        <w:rFonts w:ascii="Cambria" w:eastAsia="Cambria" w:hAnsi="Cambria" w:cs="Cambria"/>
                        <w:bCs/>
                        <w:color w:val="FFFFFF"/>
                        <w:sz w:val="20"/>
                        <w:szCs w:val="20"/>
                      </w:rPr>
                      <w:t>4</w:t>
                    </w:r>
                  </w:p>
                  <w:p w14:paraId="689ED365" w14:textId="77777777" w:rsidR="009F3186" w:rsidRDefault="009F3186" w:rsidP="009F3186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  <w:sz w:val="40"/>
                      </w:rPr>
                      <w:t xml:space="preserve">  </w:t>
                    </w:r>
                  </w:p>
                  <w:p w14:paraId="3020C2B4" w14:textId="77777777" w:rsidR="009F3186" w:rsidRDefault="009F3186" w:rsidP="009F3186">
                    <w:pPr>
                      <w:jc w:val="right"/>
                      <w:textDirection w:val="btLr"/>
                    </w:pPr>
                  </w:p>
                  <w:p w14:paraId="73DA3447" w14:textId="77777777" w:rsidR="009F3186" w:rsidRDefault="009F3186" w:rsidP="009F3186">
                    <w:pPr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FFFFFF"/>
                        <w:sz w:val="12"/>
                      </w:rPr>
                      <w:t xml:space="preserve">GA-002      </w:t>
                    </w:r>
                    <w:proofErr w:type="spellStart"/>
                    <w:r>
                      <w:rPr>
                        <w:rFonts w:ascii="Cambria" w:eastAsia="Cambria" w:hAnsi="Cambria" w:cs="Cambria"/>
                        <w:b/>
                        <w:color w:val="FFFFFF"/>
                        <w:sz w:val="12"/>
                      </w:rPr>
                      <w:t>Versión</w:t>
                    </w:r>
                    <w:proofErr w:type="spellEnd"/>
                    <w:r>
                      <w:rPr>
                        <w:rFonts w:ascii="Cambria" w:eastAsia="Cambria" w:hAnsi="Cambria" w:cs="Cambria"/>
                        <w:b/>
                        <w:color w:val="FFFFFF"/>
                        <w:sz w:val="12"/>
                      </w:rPr>
                      <w:t xml:space="preserve"> 1      01-06-2023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227"/>
    <w:multiLevelType w:val="multilevel"/>
    <w:tmpl w:val="42F0648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647A5F67"/>
    <w:multiLevelType w:val="multilevel"/>
    <w:tmpl w:val="7B42F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BF"/>
    <w:rsid w:val="006179BF"/>
    <w:rsid w:val="009A3EE6"/>
    <w:rsid w:val="009F3186"/>
    <w:rsid w:val="00B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3021D"/>
  <w15:docId w15:val="{068FE225-69AF-4DA3-96ED-475774A9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en-US" w:eastAsia="es-C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4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4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4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4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4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4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4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4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04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04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4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4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45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45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45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45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45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4531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C0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4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4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45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45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45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4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45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45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3B0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A3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EE6"/>
  </w:style>
  <w:style w:type="paragraph" w:styleId="Piedepgina">
    <w:name w:val="footer"/>
    <w:basedOn w:val="Normal"/>
    <w:link w:val="PiedepginaCar"/>
    <w:uiPriority w:val="99"/>
    <w:unhideWhenUsed/>
    <w:rsid w:val="009A3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+zmoEm1kg7fDVi604Z+1eHCSg==">CgMxLjA4AHIhMUNhSUo3eVFGVVo5SVpWOWxpaTk1dE43SXlqYVJicjZ0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Ecoexplora Consultoría SAS BIC</dc:creator>
  <cp:lastModifiedBy>Ecoexplora Consultoría SAS BIC</cp:lastModifiedBy>
  <cp:revision>2</cp:revision>
  <dcterms:created xsi:type="dcterms:W3CDTF">2025-03-05T13:46:00Z</dcterms:created>
  <dcterms:modified xsi:type="dcterms:W3CDTF">2025-03-05T13:46:00Z</dcterms:modified>
</cp:coreProperties>
</file>